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20" w:rsidRDefault="000E1920" w:rsidP="000E1920">
      <w:pPr>
        <w:autoSpaceDE w:val="0"/>
        <w:autoSpaceDN w:val="0"/>
        <w:adjustRightInd w:val="0"/>
        <w:spacing w:after="0" w:line="240" w:lineRule="auto"/>
        <w:jc w:val="center"/>
        <w:rPr>
          <w:rFonts w:ascii="BookmanOldStyle" w:hAnsi="BookmanOldStyle" w:cs="BookmanOldStyle"/>
          <w:sz w:val="48"/>
          <w:szCs w:val="48"/>
        </w:rPr>
      </w:pPr>
      <w:r>
        <w:rPr>
          <w:rFonts w:ascii="BookmanOldStyle" w:hAnsi="BookmanOldStyle" w:cs="BookmanOldStyle"/>
          <w:sz w:val="48"/>
          <w:szCs w:val="48"/>
        </w:rPr>
        <w:t>ISTITUTI TECNICI</w:t>
      </w: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jc w:val="center"/>
        <w:rPr>
          <w:rFonts w:ascii="BookmanOldStyle" w:hAnsi="BookmanOldStyle" w:cs="BookmanOldStyle"/>
          <w:sz w:val="40"/>
          <w:szCs w:val="40"/>
        </w:rPr>
      </w:pPr>
      <w:r>
        <w:rPr>
          <w:rFonts w:ascii="BookmanOldStyle" w:hAnsi="BookmanOldStyle" w:cs="BookmanOldStyle"/>
          <w:sz w:val="40"/>
          <w:szCs w:val="40"/>
        </w:rPr>
        <w:t>LINEE GUIDA PER IL PASSAGGIO AL NUOVO</w:t>
      </w: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jc w:val="center"/>
        <w:rPr>
          <w:rFonts w:ascii="BookmanOldStyle" w:hAnsi="BookmanOldStyle" w:cs="BookmanOldStyle"/>
          <w:sz w:val="40"/>
          <w:szCs w:val="40"/>
        </w:rPr>
      </w:pPr>
      <w:r>
        <w:rPr>
          <w:rFonts w:ascii="BookmanOldStyle" w:hAnsi="BookmanOldStyle" w:cs="BookmanOldStyle"/>
          <w:sz w:val="40"/>
          <w:szCs w:val="40"/>
        </w:rPr>
        <w:t>ORDINAMENTO</w:t>
      </w: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jc w:val="center"/>
        <w:rPr>
          <w:rFonts w:ascii="BookmanOldStyle" w:hAnsi="BookmanOldStyle" w:cs="BookmanOldStyle"/>
          <w:sz w:val="40"/>
          <w:szCs w:val="40"/>
        </w:rPr>
      </w:pPr>
      <w:r>
        <w:rPr>
          <w:rFonts w:ascii="BookmanOldStyle" w:hAnsi="BookmanOldStyle" w:cs="BookmanOldStyle"/>
          <w:sz w:val="40"/>
          <w:szCs w:val="40"/>
        </w:rPr>
        <w:t>Secondo biennio e quinto anno</w:t>
      </w: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jc w:val="center"/>
        <w:rPr>
          <w:rFonts w:ascii="BookmanOldStyle" w:hAnsi="BookmanOldStyle" w:cs="BookmanOldStyle"/>
          <w:sz w:val="32"/>
          <w:szCs w:val="32"/>
        </w:rPr>
      </w:pPr>
      <w:r>
        <w:rPr>
          <w:rFonts w:ascii="BookmanOldStyle" w:hAnsi="BookmanOldStyle" w:cs="BookmanOldStyle"/>
          <w:sz w:val="32"/>
          <w:szCs w:val="32"/>
        </w:rPr>
        <w:t>(D.P.R. 15 marzo 2010, articolo 8, comma 3)</w:t>
      </w: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E1920" w:rsidRDefault="000E1920" w:rsidP="000E1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D7ED1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2.2.2 Alternanza scuola-lavoro</w:t>
      </w:r>
    </w:p>
    <w:p w:rsidR="00ED7ED1" w:rsidRPr="00ED7ED1" w:rsidRDefault="00ED7ED1" w:rsidP="000E1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>L’</w:t>
      </w:r>
      <w:r w:rsidR="00ED7ED1">
        <w:rPr>
          <w:rFonts w:ascii="Times New Roman" w:hAnsi="Times New Roman" w:cs="Times New Roman"/>
          <w:sz w:val="28"/>
          <w:szCs w:val="28"/>
        </w:rPr>
        <w:t xml:space="preserve">alternanza scuola </w:t>
      </w:r>
      <w:r w:rsidRPr="007E7A29">
        <w:rPr>
          <w:rFonts w:ascii="Times New Roman" w:hAnsi="Times New Roman" w:cs="Times New Roman"/>
          <w:sz w:val="28"/>
          <w:szCs w:val="28"/>
        </w:rPr>
        <w:t xml:space="preserve">lavoro, pur presentando alcune analogie con le esperienze di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stage </w:t>
      </w:r>
      <w:r w:rsidRPr="007E7A29">
        <w:rPr>
          <w:rFonts w:ascii="Times New Roman" w:hAnsi="Times New Roman" w:cs="Times New Roman"/>
          <w:sz w:val="28"/>
          <w:szCs w:val="28"/>
        </w:rPr>
        <w:t>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tirocinio, si differenzia da queste per le caratteristiche strutturali e per la più stretta relazione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dello studente con il contesto lavorativo.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>Introdotta in Italia come una delle modalità di realizzazione dei percorsi di scuola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secondaria di secondo grado (art. 4 legge delega n.53/03),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l’alternanza scuola-lavoro si configura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quale </w:t>
      </w:r>
      <w:r w:rsidRPr="00ED7ED1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 xml:space="preserve">metodologia didattica innovativa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del sistema dell’istruzione che consente agli studenti che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hanno compiuto il quindicesimo anno di età, di realizzare i propri percorsi formativi alternando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periodi di studio “in aula” e forme di apprendimento in contesti lavorativi.</w:t>
      </w:r>
      <w:r w:rsidRPr="007E7A29">
        <w:rPr>
          <w:rFonts w:ascii="Times New Roman" w:hAnsi="Times New Roman" w:cs="Times New Roman"/>
          <w:sz w:val="28"/>
          <w:szCs w:val="28"/>
        </w:rPr>
        <w:t xml:space="preserve"> Si tratta, dunque, di una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possibilità attraverso la quale si attuano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modalità di apprendimento flessibili e </w:t>
      </w:r>
      <w:r w:rsidRPr="00ED7ED1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equivalenti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sotto il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profilo culturale ed educativo.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>Con l’alternanza scuola-lavoro si riconosce, infatti, un valore formativo equivalente ai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percorsi realizzati in azienda e a quelli curricolari svolti nel contesto scolastico.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Attraverso la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metodologia dell’alternanza, infatti, si permettono </w:t>
      </w:r>
      <w:r w:rsidRPr="00ED7ED1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 xml:space="preserve">l’acquisizione, lo sviluppo e l’applicazione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di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competenze specifiche</w:t>
      </w:r>
      <w:r w:rsidRPr="007E7A29">
        <w:rPr>
          <w:rFonts w:ascii="Times New Roman" w:hAnsi="Times New Roman" w:cs="Times New Roman"/>
          <w:sz w:val="28"/>
          <w:szCs w:val="28"/>
        </w:rPr>
        <w:t xml:space="preserve"> previste dai profili educativi culturali e professionali dei diversi corsi di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studio che la scuola ha adottato nel Piano dell’Offerta Formativa.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>Attraverso l’alternanza scuola-lavoro si concretizza il concetto di pluralità 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complementarietà dei diversi approcci nell’apprendimento. Il mondo della Scuola e quello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dell’azienda/impresa non sono più considerati come realtà separate bensì integrate tra loro,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consapevoli che, per uno sviluppo coerente e pieno della persona, è importante ampliare 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diversificare i luoghi, le modalità ed i tempi dell’apprendimento.</w:t>
      </w:r>
      <w:r w:rsidRPr="007E7A29">
        <w:rPr>
          <w:rFonts w:ascii="Times New Roman" w:hAnsi="Times New Roman" w:cs="Times New Roman"/>
          <w:sz w:val="28"/>
          <w:szCs w:val="28"/>
        </w:rPr>
        <w:t xml:space="preserve"> “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>Pensare</w:t>
      </w:r>
      <w:r w:rsidRPr="007E7A29">
        <w:rPr>
          <w:rFonts w:ascii="Times New Roman" w:hAnsi="Times New Roman" w:cs="Times New Roman"/>
          <w:sz w:val="28"/>
          <w:szCs w:val="28"/>
        </w:rPr>
        <w:t>” e “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>fare</w:t>
      </w:r>
      <w:r w:rsidRPr="007E7A29">
        <w:rPr>
          <w:rFonts w:ascii="Times New Roman" w:hAnsi="Times New Roman" w:cs="Times New Roman"/>
          <w:sz w:val="28"/>
          <w:szCs w:val="28"/>
        </w:rPr>
        <w:t>” come processi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complementari, integrabili e non alternativi.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D1">
        <w:rPr>
          <w:rFonts w:ascii="Times New Roman" w:hAnsi="Times New Roman" w:cs="Times New Roman"/>
          <w:sz w:val="28"/>
          <w:szCs w:val="28"/>
          <w:highlight w:val="yellow"/>
        </w:rPr>
        <w:t>Il modello dell’alternanza scuola-lavoro, inoltre, intende non solo superare l'idea di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disgiunzione tra momento formativo ed applicativo,</w:t>
      </w:r>
      <w:r w:rsidRPr="007E7A29">
        <w:rPr>
          <w:rFonts w:ascii="Times New Roman" w:hAnsi="Times New Roman" w:cs="Times New Roman"/>
          <w:sz w:val="28"/>
          <w:szCs w:val="28"/>
        </w:rPr>
        <w:t xml:space="preserve"> ma si pone l’</w:t>
      </w:r>
      <w:r w:rsidR="007E7A29">
        <w:rPr>
          <w:rFonts w:ascii="Times New Roman" w:hAnsi="Times New Roman" w:cs="Times New Roman"/>
          <w:sz w:val="28"/>
          <w:szCs w:val="28"/>
        </w:rPr>
        <w:t xml:space="preserve">obiettivo più </w:t>
      </w:r>
      <w:r w:rsidRPr="007E7A29">
        <w:rPr>
          <w:rFonts w:ascii="Times New Roman" w:hAnsi="Times New Roman" w:cs="Times New Roman"/>
          <w:sz w:val="28"/>
          <w:szCs w:val="28"/>
        </w:rPr>
        <w:t>incisivo di accrescere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la motivazione allo studio e di guidare i giovani nella scoperta delle vocazioni personali, degli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interessi e degli stil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i di apprendimento individuali,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arricchendo la formazione scolastica con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l’acquisizione di competenze maturate “sul campo”.</w:t>
      </w:r>
      <w:r w:rsidRPr="007E7A29">
        <w:rPr>
          <w:rFonts w:ascii="Times New Roman" w:hAnsi="Times New Roman" w:cs="Times New Roman"/>
          <w:sz w:val="28"/>
          <w:szCs w:val="28"/>
        </w:rPr>
        <w:t xml:space="preserve"> Condizione che offre quel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>vantaggio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competitivo </w:t>
      </w:r>
      <w:r w:rsidRPr="007E7A29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7E7A29">
        <w:rPr>
          <w:rFonts w:ascii="Times New Roman" w:hAnsi="Times New Roman" w:cs="Times New Roman"/>
          <w:sz w:val="28"/>
          <w:szCs w:val="28"/>
        </w:rPr>
        <w:t>rispetto a quanti circoscrivono la propria formazione al solo contesto teorico) che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costituisce, esso stesso, stimolo all’apprendimento e valore aggiunto alla formazione della persona.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lastRenderedPageBreak/>
        <w:t>L’alternanza scuola-lavoro, perciò, non costituisce un percorso “di recupero”, ma al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contrario si qualifica come strumento per rendere più fless</w:t>
      </w:r>
      <w:r w:rsidR="007E7A29">
        <w:rPr>
          <w:rFonts w:ascii="Times New Roman" w:hAnsi="Times New Roman" w:cs="Times New Roman"/>
          <w:sz w:val="28"/>
          <w:szCs w:val="28"/>
        </w:rPr>
        <w:t xml:space="preserve">ibili i percorsi di istruzione, </w:t>
      </w:r>
      <w:r w:rsidRPr="007E7A29">
        <w:rPr>
          <w:rFonts w:ascii="Times New Roman" w:hAnsi="Times New Roman" w:cs="Times New Roman"/>
          <w:sz w:val="28"/>
          <w:szCs w:val="28"/>
        </w:rPr>
        <w:t>nella cornice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del </w:t>
      </w:r>
      <w:proofErr w:type="spellStart"/>
      <w:r w:rsidRPr="007E7A29">
        <w:rPr>
          <w:rFonts w:ascii="Times New Roman" w:hAnsi="Times New Roman" w:cs="Times New Roman"/>
          <w:i/>
          <w:iCs/>
          <w:sz w:val="28"/>
          <w:szCs w:val="28"/>
        </w:rPr>
        <w:t>lifelong</w:t>
      </w:r>
      <w:proofErr w:type="spellEnd"/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E7A29">
        <w:rPr>
          <w:rFonts w:ascii="Times New Roman" w:hAnsi="Times New Roman" w:cs="Times New Roman"/>
          <w:i/>
          <w:iCs/>
          <w:sz w:val="28"/>
          <w:szCs w:val="28"/>
        </w:rPr>
        <w:t>learning</w:t>
      </w:r>
      <w:proofErr w:type="spellEnd"/>
      <w:r w:rsidRPr="007E7A2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D1">
        <w:rPr>
          <w:rFonts w:ascii="Times New Roman" w:hAnsi="Times New Roman" w:cs="Times New Roman"/>
          <w:sz w:val="28"/>
          <w:szCs w:val="28"/>
          <w:highlight w:val="yellow"/>
        </w:rPr>
        <w:t>I nuovi modelli organizzativi proposti dal riordino degli Istituti Tecnici, quali i Dipartimenti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e il Comitato Tecnico Scientifico</w:t>
      </w:r>
      <w:r w:rsidRPr="007E7A29">
        <w:rPr>
          <w:rFonts w:ascii="Times New Roman" w:hAnsi="Times New Roman" w:cs="Times New Roman"/>
          <w:sz w:val="28"/>
          <w:szCs w:val="28"/>
        </w:rPr>
        <w:t>, possono svolgere un ruolo importante sia per facilitare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l’inserimento dei giovani in quei contesti operativi disponibili ad ospitare gli studenti, sia per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attivare efficacemente le procedure di alternanza, più complesse di quelle previste per gli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stage </w:t>
      </w:r>
      <w:r w:rsidRPr="007E7A29">
        <w:rPr>
          <w:rFonts w:ascii="Times New Roman" w:hAnsi="Times New Roman" w:cs="Times New Roman"/>
          <w:sz w:val="28"/>
          <w:szCs w:val="28"/>
        </w:rPr>
        <w:t>e 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tirocini.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ED1">
        <w:rPr>
          <w:rFonts w:ascii="Times New Roman" w:hAnsi="Times New Roman" w:cs="Times New Roman"/>
          <w:sz w:val="28"/>
          <w:szCs w:val="28"/>
          <w:highlight w:val="yellow"/>
        </w:rPr>
        <w:t>In questo specifico contesto educativo, assume particolare rilevanza la funzione tutoriale,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preordinata alla promozione delle competenze degli studenti e al raccordo tra l’istituzione</w:t>
      </w:r>
      <w:r w:rsidR="007E7A29" w:rsidRPr="00ED7ED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D7ED1">
        <w:rPr>
          <w:rFonts w:ascii="Times New Roman" w:hAnsi="Times New Roman" w:cs="Times New Roman"/>
          <w:sz w:val="28"/>
          <w:szCs w:val="28"/>
          <w:highlight w:val="yellow"/>
        </w:rPr>
        <w:t>scolastica, il mondo del lavoro e il territorio.</w:t>
      </w:r>
    </w:p>
    <w:p w:rsid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 xml:space="preserve">Nell’alternanza la figura del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tutor </w:t>
      </w:r>
      <w:r w:rsidRPr="007E7A29">
        <w:rPr>
          <w:rFonts w:ascii="Times New Roman" w:hAnsi="Times New Roman" w:cs="Times New Roman"/>
          <w:sz w:val="28"/>
          <w:szCs w:val="28"/>
        </w:rPr>
        <w:t>supporta e favori</w:t>
      </w:r>
      <w:r w:rsidR="007E7A29">
        <w:rPr>
          <w:rFonts w:ascii="Times New Roman" w:hAnsi="Times New Roman" w:cs="Times New Roman"/>
          <w:sz w:val="28"/>
          <w:szCs w:val="28"/>
        </w:rPr>
        <w:t xml:space="preserve">sce i processi di apprendimento </w:t>
      </w:r>
      <w:r w:rsidRPr="007E7A29">
        <w:rPr>
          <w:rFonts w:ascii="Times New Roman" w:hAnsi="Times New Roman" w:cs="Times New Roman"/>
          <w:sz w:val="28"/>
          <w:szCs w:val="28"/>
        </w:rPr>
        <w:t>dello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studente. Il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tutor </w:t>
      </w:r>
      <w:r w:rsidRPr="007E7A29">
        <w:rPr>
          <w:rFonts w:ascii="Times New Roman" w:hAnsi="Times New Roman" w:cs="Times New Roman"/>
          <w:sz w:val="28"/>
          <w:szCs w:val="28"/>
        </w:rPr>
        <w:t>si connota come “facilitatore dell’apprendimento”; accoglie e sostiene lo studente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nella costruzione delle proprie conoscenze; lo affianca nelle s</w:t>
      </w:r>
      <w:r w:rsidR="007E7A29">
        <w:rPr>
          <w:rFonts w:ascii="Times New Roman" w:hAnsi="Times New Roman" w:cs="Times New Roman"/>
          <w:sz w:val="28"/>
          <w:szCs w:val="28"/>
        </w:rPr>
        <w:t>ituazioni reali e lo aiuta a ri</w:t>
      </w:r>
      <w:r w:rsidRPr="007E7A29">
        <w:rPr>
          <w:rFonts w:ascii="Times New Roman" w:hAnsi="Times New Roman" w:cs="Times New Roman"/>
          <w:sz w:val="28"/>
          <w:szCs w:val="28"/>
        </w:rPr>
        <w:t>leggere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l’insieme delle esperienze per poterle comprendere nella loro naturale complessità. </w:t>
      </w:r>
    </w:p>
    <w:p w:rsidR="000E1920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>Lo aiuta,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dunque, a rivisitare il suo sapere e ad avere</w:t>
      </w:r>
      <w:r w:rsidR="007E7A29">
        <w:rPr>
          <w:rFonts w:ascii="Times New Roman" w:hAnsi="Times New Roman" w:cs="Times New Roman"/>
          <w:sz w:val="28"/>
          <w:szCs w:val="28"/>
        </w:rPr>
        <w:t xml:space="preserve"> chiara valutazione delle tappe </w:t>
      </w:r>
      <w:r w:rsidRPr="007E7A29">
        <w:rPr>
          <w:rFonts w:ascii="Times New Roman" w:hAnsi="Times New Roman" w:cs="Times New Roman"/>
          <w:sz w:val="28"/>
          <w:szCs w:val="28"/>
        </w:rPr>
        <w:t>del proprio processo di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apprendimento.</w:t>
      </w:r>
    </w:p>
    <w:p w:rsidR="000E0AB7" w:rsidRPr="007E7A29" w:rsidRDefault="000E1920" w:rsidP="007E7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A29">
        <w:rPr>
          <w:rFonts w:ascii="Times New Roman" w:hAnsi="Times New Roman" w:cs="Times New Roman"/>
          <w:sz w:val="28"/>
          <w:szCs w:val="28"/>
        </w:rPr>
        <w:t>Sotto il profilo organizzativo, l’alternanza condivide la maggior parte degli adempimenti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 xml:space="preserve">previsti per la pianificazione degli </w:t>
      </w:r>
      <w:r w:rsidRPr="007E7A29">
        <w:rPr>
          <w:rFonts w:ascii="Times New Roman" w:hAnsi="Times New Roman" w:cs="Times New Roman"/>
          <w:i/>
          <w:iCs/>
          <w:sz w:val="28"/>
          <w:szCs w:val="28"/>
        </w:rPr>
        <w:t xml:space="preserve">stage </w:t>
      </w:r>
      <w:r w:rsidRPr="007E7A29">
        <w:rPr>
          <w:rFonts w:ascii="Times New Roman" w:hAnsi="Times New Roman" w:cs="Times New Roman"/>
          <w:sz w:val="28"/>
          <w:szCs w:val="28"/>
        </w:rPr>
        <w:t>e dei tirocini. È evidente l’impegno richiesto ai Dirigenti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scolastici per la stipula di accordi, che possono coinvolgere anche reti di scuole, con i diversi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soggetti del mondo del lavoro operanti nel territorio. Accordi a valenza pluriennale, ovviamente,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garantiscono alla collaborazione maggiore stabilità e organicità. Ciò allo scopo di avvicinare</w:t>
      </w:r>
      <w:r w:rsidR="007E7A29">
        <w:rPr>
          <w:rFonts w:ascii="Times New Roman" w:hAnsi="Times New Roman" w:cs="Times New Roman"/>
          <w:sz w:val="28"/>
          <w:szCs w:val="28"/>
        </w:rPr>
        <w:t xml:space="preserve"> </w:t>
      </w:r>
      <w:r w:rsidRPr="007E7A29">
        <w:rPr>
          <w:rFonts w:ascii="Times New Roman" w:hAnsi="Times New Roman" w:cs="Times New Roman"/>
          <w:sz w:val="28"/>
          <w:szCs w:val="28"/>
        </w:rPr>
        <w:t>sempre più i giovani al lavoro e il lavoro ai giovani.</w:t>
      </w:r>
    </w:p>
    <w:sectPr w:rsidR="000E0AB7" w:rsidRPr="007E7A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0E1920"/>
    <w:rsid w:val="000E0AB7"/>
    <w:rsid w:val="000E1920"/>
    <w:rsid w:val="007E7A29"/>
    <w:rsid w:val="00ED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677</Words>
  <Characters>3859</Characters>
  <Application>Microsoft Office Word</Application>
  <DocSecurity>0</DocSecurity>
  <Lines>32</Lines>
  <Paragraphs>9</Paragraphs>
  <ScaleCrop>false</ScaleCrop>
  <Company>TOSHIBA</Company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2016-04-06T08:45:00Z</dcterms:created>
  <dcterms:modified xsi:type="dcterms:W3CDTF">2016-04-06T08:53:00Z</dcterms:modified>
</cp:coreProperties>
</file>